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0213E2">
        <w:rPr>
          <w:b/>
          <w:sz w:val="24"/>
          <w:szCs w:val="24"/>
        </w:rPr>
        <w:t xml:space="preserve"> action at the February 2</w:t>
      </w:r>
      <w:r w:rsidR="00EB6315">
        <w:rPr>
          <w:b/>
          <w:sz w:val="24"/>
          <w:szCs w:val="24"/>
        </w:rPr>
        <w:t>, 2016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0213E2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February 2</w:t>
      </w:r>
      <w:r w:rsidR="00EB6315">
        <w:rPr>
          <w:b/>
          <w:i/>
          <w:sz w:val="24"/>
          <w:szCs w:val="24"/>
        </w:rPr>
        <w:t xml:space="preserve">, </w:t>
      </w:r>
      <w:r w:rsidR="00EB6315" w:rsidRPr="00EB6315">
        <w:rPr>
          <w:b/>
          <w:i/>
          <w:sz w:val="24"/>
          <w:szCs w:val="24"/>
        </w:rPr>
        <w:t>2016</w:t>
      </w:r>
      <w:r w:rsidR="00B3325A" w:rsidRPr="00EB6315">
        <w:rPr>
          <w:b/>
          <w:i/>
          <w:sz w:val="24"/>
          <w:szCs w:val="24"/>
        </w:rPr>
        <w:t xml:space="preserve">   </w:t>
      </w:r>
      <w:r w:rsidRPr="000213E2">
        <w:rPr>
          <w:b/>
          <w:i/>
          <w:sz w:val="36"/>
          <w:szCs w:val="36"/>
          <w:u w:val="single"/>
        </w:rPr>
        <w:t>6</w:t>
      </w:r>
      <w:r w:rsidR="00EB6315" w:rsidRPr="000213E2">
        <w:rPr>
          <w:b/>
          <w:i/>
          <w:sz w:val="36"/>
          <w:szCs w:val="36"/>
          <w:u w:val="single"/>
        </w:rPr>
        <w:t xml:space="preserve">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>Council President: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EB6315">
        <w:rPr>
          <w:b/>
          <w:sz w:val="24"/>
          <w:szCs w:val="24"/>
        </w:rPr>
        <w:t>woman: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883A70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November 28, </w:t>
      </w:r>
      <w:r w:rsidR="00B3325A">
        <w:rPr>
          <w:b/>
          <w:i/>
          <w:sz w:val="24"/>
          <w:szCs w:val="24"/>
        </w:rPr>
        <w:t>2015</w:t>
      </w:r>
      <w:r w:rsidR="000213E2">
        <w:rPr>
          <w:b/>
          <w:i/>
          <w:sz w:val="24"/>
          <w:szCs w:val="24"/>
        </w:rPr>
        <w:t>, and amended January 20, 2016</w:t>
      </w:r>
      <w:proofErr w:type="gramStart"/>
      <w:r w:rsidR="000213E2">
        <w:rPr>
          <w:b/>
          <w:i/>
          <w:sz w:val="24"/>
          <w:szCs w:val="24"/>
        </w:rPr>
        <w:t xml:space="preserve">, </w:t>
      </w:r>
      <w:r w:rsidR="00B3325A">
        <w:rPr>
          <w:b/>
          <w:i/>
          <w:sz w:val="24"/>
          <w:szCs w:val="24"/>
        </w:rPr>
        <w:t xml:space="preserve"> the</w:t>
      </w:r>
      <w:proofErr w:type="gramEnd"/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firstLine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16720" w:rsidRDefault="00316720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RECOGNITION OF POSTER CONTEST PARTICIPANTS</w:t>
      </w:r>
    </w:p>
    <w:p w:rsidR="00316720" w:rsidRDefault="00316720" w:rsidP="00316720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F97FBF" w:rsidRPr="00F97FBF" w:rsidRDefault="00F97FBF" w:rsidP="00F97FBF">
      <w:pPr>
        <w:pStyle w:val="ListParagraph"/>
        <w:numPr>
          <w:ilvl w:val="2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Personnel - Negotiations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Pr="00883A70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316720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3325A">
        <w:rPr>
          <w:b/>
          <w:bCs/>
          <w:sz w:val="24"/>
          <w:szCs w:val="24"/>
        </w:rPr>
        <w:t xml:space="preserve">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B3325A" w:rsidRDefault="00B3325A" w:rsidP="00B3325A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B3325A" w:rsidRDefault="00316720" w:rsidP="00B3325A">
      <w:pPr>
        <w:pStyle w:val="ListParagraph"/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10</w:t>
      </w:r>
      <w:r w:rsidR="00B3325A">
        <w:rPr>
          <w:b/>
          <w:bCs/>
          <w:sz w:val="24"/>
          <w:szCs w:val="24"/>
        </w:rPr>
        <w:t>.</w:t>
      </w:r>
      <w:r w:rsidR="00B3325A">
        <w:rPr>
          <w:sz w:val="24"/>
          <w:szCs w:val="24"/>
        </w:rPr>
        <w:t xml:space="preserve"> </w:t>
      </w:r>
      <w:r w:rsidR="00B3325A">
        <w:rPr>
          <w:b/>
          <w:bCs/>
          <w:sz w:val="24"/>
          <w:szCs w:val="24"/>
        </w:rPr>
        <w:t>APPOVAL OF CONSENT AGENDA</w:t>
      </w:r>
    </w:p>
    <w:p w:rsidR="003D6238" w:rsidRDefault="00F97FBF" w:rsidP="00F97FBF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Removal from rolls of Bloomingdale Fire Department due to no activity; Brian </w:t>
      </w:r>
      <w:proofErr w:type="spellStart"/>
      <w:r>
        <w:rPr>
          <w:b/>
          <w:bCs/>
          <w:sz w:val="24"/>
          <w:szCs w:val="24"/>
        </w:rPr>
        <w:t>Evanchilk</w:t>
      </w:r>
      <w:proofErr w:type="spellEnd"/>
      <w:r>
        <w:rPr>
          <w:b/>
          <w:bCs/>
          <w:sz w:val="24"/>
          <w:szCs w:val="24"/>
        </w:rPr>
        <w:t xml:space="preserve"> and Ken </w:t>
      </w:r>
      <w:proofErr w:type="spellStart"/>
      <w:r>
        <w:rPr>
          <w:b/>
          <w:bCs/>
          <w:sz w:val="24"/>
          <w:szCs w:val="24"/>
        </w:rPr>
        <w:t>Lesh</w:t>
      </w:r>
      <w:proofErr w:type="spellEnd"/>
    </w:p>
    <w:p w:rsidR="00F97FBF" w:rsidRDefault="00F97FBF" w:rsidP="00F97FBF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B3325A" w:rsidRDefault="00316720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B3325A">
        <w:rPr>
          <w:b/>
          <w:bCs/>
          <w:sz w:val="24"/>
          <w:szCs w:val="24"/>
        </w:rPr>
        <w:t>.  PENDING ITEMS:</w:t>
      </w:r>
    </w:p>
    <w:p w:rsidR="003D6238" w:rsidRDefault="00D8194E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Second and final reading and Public Hearing of Ordinance No. 1-2016:  Amending </w:t>
      </w:r>
    </w:p>
    <w:p w:rsidR="00D8194E" w:rsidRDefault="00D8194E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Chapter 4; General Licensing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D8194E" w:rsidRDefault="00D8194E" w:rsidP="00D8194E">
      <w:pPr>
        <w:pStyle w:val="ListParagraph"/>
        <w:numPr>
          <w:ilvl w:val="0"/>
          <w:numId w:val="2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 xml:space="preserve"> Second and final reading and Public Hearing of Ordinance No. 2-2016:  </w:t>
      </w:r>
      <w:r>
        <w:rPr>
          <w:b/>
          <w:bCs/>
          <w:sz w:val="24"/>
          <w:szCs w:val="24"/>
        </w:rPr>
        <w:t>Providing legal counsel and indemnification for Officials, Employees and Appointees of the Borough of Bloomingdale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D8194E" w:rsidRDefault="0033736E" w:rsidP="0033736E">
      <w:pPr>
        <w:pStyle w:val="ListParagraph"/>
        <w:numPr>
          <w:ilvl w:val="0"/>
          <w:numId w:val="2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Discussion/Update in regard to FEMA flood remapping </w:t>
      </w:r>
    </w:p>
    <w:p w:rsidR="0033736E" w:rsidRPr="00D8194E" w:rsidRDefault="0033736E" w:rsidP="0033736E">
      <w:pPr>
        <w:pStyle w:val="ListParagraph"/>
        <w:numPr>
          <w:ilvl w:val="0"/>
          <w:numId w:val="2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Refer to Governmental Operations Committee </w:t>
      </w:r>
      <w:r w:rsidR="00705ACC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 xml:space="preserve">forming of </w:t>
      </w:r>
      <w:r w:rsidR="00705ACC">
        <w:rPr>
          <w:b/>
          <w:bCs/>
          <w:sz w:val="24"/>
          <w:szCs w:val="24"/>
        </w:rPr>
        <w:t xml:space="preserve"> a committee for the Borough’s </w:t>
      </w:r>
      <w:r>
        <w:rPr>
          <w:b/>
          <w:bCs/>
          <w:sz w:val="24"/>
          <w:szCs w:val="24"/>
        </w:rPr>
        <w:t>100</w:t>
      </w:r>
      <w:r w:rsidRPr="0033736E">
        <w:rPr>
          <w:b/>
          <w:bCs/>
          <w:sz w:val="24"/>
          <w:szCs w:val="24"/>
          <w:vertAlign w:val="superscript"/>
        </w:rPr>
        <w:t>th</w:t>
      </w:r>
      <w:r w:rsidR="00705ACC">
        <w:rPr>
          <w:b/>
          <w:bCs/>
          <w:sz w:val="24"/>
          <w:szCs w:val="24"/>
        </w:rPr>
        <w:t xml:space="preserve"> Anniversary </w:t>
      </w:r>
    </w:p>
    <w:p w:rsidR="00D8194E" w:rsidRDefault="00D8194E" w:rsidP="00B3325A">
      <w:pPr>
        <w:ind w:hanging="90"/>
        <w:rPr>
          <w:b/>
          <w:bCs/>
          <w:sz w:val="24"/>
          <w:szCs w:val="24"/>
        </w:rPr>
      </w:pPr>
    </w:p>
    <w:p w:rsidR="00D8194E" w:rsidRDefault="00D8194E" w:rsidP="00B3325A">
      <w:pPr>
        <w:ind w:hanging="90"/>
        <w:rPr>
          <w:b/>
          <w:bCs/>
          <w:sz w:val="24"/>
          <w:szCs w:val="24"/>
        </w:rPr>
      </w:pPr>
    </w:p>
    <w:p w:rsidR="00B3325A" w:rsidRPr="00883A70" w:rsidRDefault="00316720" w:rsidP="003D6238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3D6238">
        <w:rPr>
          <w:b/>
          <w:bCs/>
          <w:sz w:val="24"/>
          <w:szCs w:val="24"/>
        </w:rPr>
        <w:t xml:space="preserve">. </w:t>
      </w:r>
      <w:r w:rsidR="00B3325A">
        <w:rPr>
          <w:b/>
          <w:bCs/>
          <w:sz w:val="24"/>
          <w:szCs w:val="24"/>
        </w:rPr>
        <w:t xml:space="preserve"> </w:t>
      </w:r>
      <w:r w:rsidR="00B3325A" w:rsidRPr="00883A70">
        <w:rPr>
          <w:b/>
          <w:bCs/>
          <w:sz w:val="24"/>
          <w:szCs w:val="24"/>
        </w:rPr>
        <w:t>INTRODUCTION OF NEW BUSINESS</w:t>
      </w:r>
    </w:p>
    <w:p w:rsidR="00C0208F" w:rsidRDefault="00C0208F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</w:t>
      </w:r>
      <w:r w:rsidR="0033736E">
        <w:rPr>
          <w:b/>
          <w:bCs/>
          <w:sz w:val="24"/>
          <w:szCs w:val="24"/>
        </w:rPr>
        <w:t>2016-2.___:  Uncashed Refunds for Municipal Court</w:t>
      </w:r>
    </w:p>
    <w:p w:rsidR="0033736E" w:rsidRDefault="0033736E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2016-2.___:  Ratifying White Collar Contract</w:t>
      </w:r>
    </w:p>
    <w:p w:rsidR="0033736E" w:rsidRDefault="0033736E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___-2016:  Amending Chapter 2, “Administration”, Article V, Departments Established and Chapter 17, “Water”</w:t>
      </w:r>
    </w:p>
    <w:p w:rsidR="0033736E" w:rsidRDefault="0033736E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2016-2.___:  Authorizing Shared Services Agreement with West Milford for Animal Control Officer on a “As needed” basis</w:t>
      </w:r>
    </w:p>
    <w:p w:rsidR="0033736E" w:rsidRDefault="00866710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___-2016:  Amendment to fee ordinance</w:t>
      </w:r>
    </w:p>
    <w:p w:rsidR="00866710" w:rsidRDefault="00866710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___-2016:  Zoning Ordinance amending Section 92-55(C)</w:t>
      </w:r>
      <w:r w:rsidR="00916C22">
        <w:rPr>
          <w:b/>
          <w:bCs/>
          <w:sz w:val="24"/>
          <w:szCs w:val="24"/>
        </w:rPr>
        <w:t xml:space="preserve"> to allow</w:t>
      </w:r>
      <w:r>
        <w:rPr>
          <w:b/>
          <w:bCs/>
          <w:sz w:val="24"/>
          <w:szCs w:val="24"/>
        </w:rPr>
        <w:t xml:space="preserve"> conditional use of dwelling units above retail/offices</w:t>
      </w:r>
    </w:p>
    <w:p w:rsidR="00866710" w:rsidRDefault="00866710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Discussion/Update on Sewer Authority Debt Service Reduction</w:t>
      </w:r>
    </w:p>
    <w:p w:rsidR="00866710" w:rsidRPr="003D6238" w:rsidRDefault="00866710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Blizzard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</w:p>
    <w:p w:rsidR="00B3325A" w:rsidRDefault="00316720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Default="0031672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 LATE EXECUTIVE SESSION</w:t>
      </w:r>
    </w:p>
    <w:p w:rsidR="00E501CD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P</w:t>
      </w:r>
      <w:r w:rsidR="00866710">
        <w:rPr>
          <w:b/>
          <w:bCs/>
          <w:sz w:val="24"/>
          <w:szCs w:val="24"/>
        </w:rPr>
        <w:t>ersonnel –</w:t>
      </w:r>
      <w:r w:rsidR="00916C22">
        <w:rPr>
          <w:b/>
          <w:bCs/>
          <w:sz w:val="24"/>
          <w:szCs w:val="24"/>
        </w:rPr>
        <w:t xml:space="preserve"> Two</w:t>
      </w:r>
      <w:r w:rsidR="00866710">
        <w:rPr>
          <w:b/>
          <w:bCs/>
          <w:sz w:val="24"/>
          <w:szCs w:val="24"/>
        </w:rPr>
        <w:t xml:space="preserve"> Matter</w:t>
      </w:r>
      <w:r w:rsidR="00916C22">
        <w:rPr>
          <w:b/>
          <w:bCs/>
          <w:sz w:val="24"/>
          <w:szCs w:val="24"/>
        </w:rPr>
        <w:t>s</w:t>
      </w:r>
    </w:p>
    <w:p w:rsidR="00E501CD" w:rsidRDefault="0086671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B.  Negotiations – One matter</w:t>
      </w:r>
    </w:p>
    <w:p w:rsidR="00916C22" w:rsidRDefault="00916C22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C.  Potential Litigation One matter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316720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31672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EB23BA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A47DE5">
        <w:rPr>
          <w:b/>
          <w:bCs/>
          <w:sz w:val="24"/>
          <w:szCs w:val="24"/>
        </w:rPr>
        <w:t>Regular Meeting – February 16, 2016</w:t>
      </w:r>
      <w:r>
        <w:rPr>
          <w:b/>
          <w:bCs/>
          <w:sz w:val="24"/>
          <w:szCs w:val="24"/>
        </w:rPr>
        <w:t xml:space="preserve"> at 7 p.m.</w:t>
      </w:r>
    </w:p>
    <w:p w:rsidR="0033736E" w:rsidRPr="00EB23BA" w:rsidRDefault="00A47DE5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Work Session Meeting – March 1, 2016 –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316720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bookmarkStart w:id="0" w:name="_GoBack"/>
      <w:bookmarkEnd w:id="0"/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883A70"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Croop</w:t>
      </w:r>
      <w:proofErr w:type="spellEnd"/>
      <w:r>
        <w:rPr>
          <w:b/>
          <w:sz w:val="24"/>
          <w:szCs w:val="24"/>
        </w:rPr>
        <w:t xml:space="preserve">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 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B3325A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316720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sectPr w:rsidR="00E50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21316F"/>
    <w:rsid w:val="00213B69"/>
    <w:rsid w:val="00316720"/>
    <w:rsid w:val="0032198B"/>
    <w:rsid w:val="0033736E"/>
    <w:rsid w:val="003C3FF2"/>
    <w:rsid w:val="003D6238"/>
    <w:rsid w:val="004C2F56"/>
    <w:rsid w:val="004F7670"/>
    <w:rsid w:val="00705ACC"/>
    <w:rsid w:val="00866710"/>
    <w:rsid w:val="00883A70"/>
    <w:rsid w:val="008D3885"/>
    <w:rsid w:val="008E46FC"/>
    <w:rsid w:val="00916C22"/>
    <w:rsid w:val="00A47DE5"/>
    <w:rsid w:val="00B3325A"/>
    <w:rsid w:val="00B94F14"/>
    <w:rsid w:val="00C0208F"/>
    <w:rsid w:val="00C45063"/>
    <w:rsid w:val="00D65959"/>
    <w:rsid w:val="00D8194E"/>
    <w:rsid w:val="00DB27A6"/>
    <w:rsid w:val="00E30C50"/>
    <w:rsid w:val="00E44B90"/>
    <w:rsid w:val="00E501CD"/>
    <w:rsid w:val="00E641DE"/>
    <w:rsid w:val="00EB23BA"/>
    <w:rsid w:val="00EB6315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2016-02-01T16:15:00Z</cp:lastPrinted>
  <dcterms:created xsi:type="dcterms:W3CDTF">2016-02-01T16:15:00Z</dcterms:created>
  <dcterms:modified xsi:type="dcterms:W3CDTF">2016-02-01T16:15:00Z</dcterms:modified>
</cp:coreProperties>
</file>